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DF38CA">
        <w:rPr>
          <w:rFonts w:ascii="Arial" w:hAnsi="Arial" w:cs="Arial"/>
          <w:i/>
          <w:sz w:val="22"/>
          <w:szCs w:val="22"/>
        </w:rPr>
        <w:t>4</w:t>
      </w:r>
    </w:p>
    <w:p w:rsidR="00AA47B8" w:rsidRPr="00FE03C2" w:rsidRDefault="00AA47B8" w:rsidP="00AA47B8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D53E0B">
        <w:rPr>
          <w:rFonts w:ascii="Arial" w:hAnsi="Arial" w:cs="Arial"/>
          <w:bCs/>
          <w:sz w:val="22"/>
          <w:szCs w:val="22"/>
        </w:rPr>
        <w:t xml:space="preserve"> Nr </w:t>
      </w:r>
      <w:r w:rsidR="000D2886">
        <w:rPr>
          <w:rFonts w:ascii="Arial" w:hAnsi="Arial" w:cs="Arial"/>
          <w:bCs/>
          <w:sz w:val="22"/>
          <w:szCs w:val="22"/>
        </w:rPr>
        <w:t>27/2023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 xml:space="preserve">z dnia </w:t>
      </w:r>
      <w:r w:rsidR="000D2886">
        <w:rPr>
          <w:rFonts w:ascii="Arial" w:hAnsi="Arial" w:cs="Arial"/>
          <w:bCs/>
          <w:sz w:val="22"/>
          <w:szCs w:val="22"/>
        </w:rPr>
        <w:t>30 stycznia</w:t>
      </w:r>
      <w:r w:rsidRPr="00FE03C2">
        <w:rPr>
          <w:rFonts w:ascii="Arial" w:hAnsi="Arial" w:cs="Arial"/>
          <w:bCs/>
          <w:sz w:val="22"/>
          <w:szCs w:val="22"/>
        </w:rPr>
        <w:t xml:space="preserve"> 202</w:t>
      </w:r>
      <w:r w:rsidR="000D2886">
        <w:rPr>
          <w:rFonts w:ascii="Arial" w:hAnsi="Arial" w:cs="Arial"/>
          <w:bCs/>
          <w:sz w:val="22"/>
          <w:szCs w:val="22"/>
        </w:rPr>
        <w:t>3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A4690B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0D2886">
        <w:rPr>
          <w:rFonts w:ascii="Arial" w:hAnsi="Arial" w:cs="Arial"/>
          <w:i w:val="0"/>
          <w:sz w:val="22"/>
          <w:szCs w:val="22"/>
        </w:rPr>
        <w:t>3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  <w:r w:rsidR="000D2886">
        <w:rPr>
          <w:rFonts w:cs="Times New Roman"/>
          <w:szCs w:val="24"/>
        </w:rPr>
        <w:t>ej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0D2886"/>
    <w:rsid w:val="004F4238"/>
    <w:rsid w:val="00506468"/>
    <w:rsid w:val="00513850"/>
    <w:rsid w:val="005153BE"/>
    <w:rsid w:val="005E74C6"/>
    <w:rsid w:val="00784FDF"/>
    <w:rsid w:val="007B37F5"/>
    <w:rsid w:val="007B51B3"/>
    <w:rsid w:val="007C4D1F"/>
    <w:rsid w:val="00841505"/>
    <w:rsid w:val="0085064A"/>
    <w:rsid w:val="008578A2"/>
    <w:rsid w:val="008C19BF"/>
    <w:rsid w:val="00902DFD"/>
    <w:rsid w:val="009B00E1"/>
    <w:rsid w:val="009B357B"/>
    <w:rsid w:val="009E5A95"/>
    <w:rsid w:val="00A4690B"/>
    <w:rsid w:val="00AA47B8"/>
    <w:rsid w:val="00CB252B"/>
    <w:rsid w:val="00D528AC"/>
    <w:rsid w:val="00D53E0B"/>
    <w:rsid w:val="00DF38CA"/>
    <w:rsid w:val="00E45EB3"/>
    <w:rsid w:val="00E82286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anna.nowosad</cp:lastModifiedBy>
  <cp:revision>2</cp:revision>
  <cp:lastPrinted>2021-12-14T08:41:00Z</cp:lastPrinted>
  <dcterms:created xsi:type="dcterms:W3CDTF">2023-01-30T13:35:00Z</dcterms:created>
  <dcterms:modified xsi:type="dcterms:W3CDTF">2023-01-30T13:35:00Z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